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0288"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平山县人民检察院（本级）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648001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平山县人民检察院（本级）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方正小标宋_GBK" w:hAnsi="方正小标宋_GBK" w:eastAsia="方正小标宋_GBK" w:cs="方正小标宋_GBK"/>
          <w:sz w:val="72"/>
          <w:szCs w:val="96"/>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平山县人民检察院（本级）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2098" w:right="1417" w:bottom="1531"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（二）依法向县人民代表大会及其常务委员会提出议案。</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（三）贯彻落实检察工作方针、总体规划，研究制定检察工作计划并组织实施。</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（四）依照法律规定对直接受理的刑事案件行使侦查权。</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（五）负责对管辖的各类刑事案件依法审查批准逮捕、决定逮捕、提起公诉。</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（六）负责应由本院承办的刑事、民事、行政诉讼活动及刑事、民事、行政判决和裁定等生效法律文书执行的法律监督工作。</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（七）负责应由本院承办的提起公益诉讼工作。</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（八）依法受理核准追诉案件，审查是否上报。</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（九）负责应由本院承办的对看守所、社区矫正等执法活动的法律监督工作。</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（十）受理向本院的控告申诉。</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（十一）组织检察工作中法律政策具体应用问题的研究；组织开展检察理论研究工作。</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（十二）负责检察人员思想政治教育和业务培训工作；按照权限管理检察官和其他工作人员。</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（十三）负责本院检务督察工作。</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（十四）负责本院检务保障以及检察技术、信息化建设工作。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（十五）完成其他应当由本院负责的工作。</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平山县人民检察院（本级）</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部门（单位）：平山县人民检察院（本级）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部门（单位）：平山县人民检察院（本级）  </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国家赔偿费用支出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检察监督</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其他检察支出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2441"/>
        <w:gridCol w:w="1094"/>
        <w:gridCol w:w="1050"/>
        <w:gridCol w:w="1033"/>
        <w:gridCol w:w="917"/>
        <w:gridCol w:w="683"/>
        <w:gridCol w:w="10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8"/>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2"/>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部门（单位）：平山县人民检察院（本级）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699"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438"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8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56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5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49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3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58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30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58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6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5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0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8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6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5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0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8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6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5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bookmarkStart w:id="0" w:name="_GoBack"/>
            <w:bookmarkEnd w:id="0"/>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8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997.62</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470.71</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2040402</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2040410</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2040499</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其他检察支出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5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5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8"/>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部门（单位）：平山县人民检察院（本级）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1,468.33</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部门（单位）：平山县人民检察院（本级）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997.62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其他检察支出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部门（单位）：平山县人民检察院（本级）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662.00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169.76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105.43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101.58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870.26</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部门（单位）：平山县人民检察院（本级）</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部门（单位）：平山县人民检察院（本级）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部门（单位）：平山县人民检察院（本级）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31.06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31.06</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本单位2025年度收、支总计（含结转和结余）均为1,468.33万元。与2024年度决算相比，收支各增加156.19万元，增长11.9%，主要原因是</w:t>
      </w:r>
      <w:r>
        <w:rPr>
          <w:rFonts w:hint="eastAsia" w:ascii="Times New Roman" w:eastAsia="仿宋_GB2312"/>
          <w:b w:val="0"/>
          <w:sz w:val="32"/>
          <w:szCs w:val="32"/>
        </w:rPr>
        <w:t>本年度财政拨款收入同比增加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kern w:val="2"/>
          <w:sz w:val="32"/>
          <w:szCs w:val="32"/>
          <w:highlight w:val="yellow"/>
          <w:lang w:val="zh-CN"/>
        </w:rPr>
      </w:pPr>
      <w:r>
        <w:rPr>
          <w:rFonts w:ascii="Times New Roman" w:eastAsia="仿宋_GB2312"/>
          <w:b w:val="0"/>
          <w:sz w:val="32"/>
          <w:szCs w:val="32"/>
        </w:rPr>
        <w:t>本单位2025年度本年收入合计1,468.33万元，</w:t>
      </w:r>
      <w:r>
        <w:rPr>
          <w:rFonts w:hint="eastAsia" w:ascii="Times New Roman" w:eastAsia="仿宋_GB2312"/>
          <w:b w:val="0"/>
          <w:sz w:val="32"/>
          <w:szCs w:val="32"/>
          <w:lang w:eastAsia="zh-CN"/>
        </w:rPr>
        <w:t>全部为</w:t>
      </w:r>
      <w:r>
        <w:rPr>
          <w:rFonts w:ascii="Times New Roman" w:eastAsia="仿宋_GB2312"/>
          <w:b w:val="0"/>
          <w:sz w:val="32"/>
          <w:szCs w:val="32"/>
        </w:rPr>
        <w:t>财政拨款收入。</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本单位2025年度本年支出合计1,468.33万元，其中：基本支出997.62万元，占67.9%；项目支出470.71万元，占32.1%。</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本单位2025年度财政拨款收、支总计（含结转和结余）均为1,468.33万元。与2024年度相比，财政拨款收支各增加156.19万元，增长11.9%，主要原因是</w:t>
      </w:r>
      <w:r>
        <w:rPr>
          <w:rFonts w:hint="eastAsia" w:ascii="Times New Roman" w:eastAsia="仿宋_GB2312"/>
          <w:b w:val="0"/>
          <w:sz w:val="32"/>
          <w:szCs w:val="32"/>
          <w:lang w:eastAsia="zh-CN"/>
        </w:rPr>
        <w:t>工资正常增长、增加退休人员抚恤金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hint="default" w:ascii="Times New Roman" w:hAnsi="Times New Roman" w:eastAsia="仿宋_GB2312" w:cs="Times New Roman"/>
          <w:sz w:val="32"/>
          <w:szCs w:val="32"/>
          <w:highlight w:val="none"/>
          <w:lang w:val="en-US" w:eastAsia="zh-CN"/>
        </w:rPr>
      </w:pPr>
      <w:r>
        <w:rPr>
          <w:rFonts w:ascii="Times New Roman" w:eastAsia="仿宋_GB2312"/>
          <w:b w:val="0"/>
          <w:sz w:val="32"/>
          <w:szCs w:val="32"/>
        </w:rPr>
        <w:t>本单位2025年度财政拨款本年收入1,468.33万元,</w:t>
      </w:r>
      <w:r>
        <w:rPr>
          <w:rFonts w:hint="eastAsia" w:ascii="Times New Roman" w:eastAsia="仿宋_GB2312"/>
          <w:b w:val="0"/>
          <w:sz w:val="32"/>
          <w:szCs w:val="32"/>
        </w:rPr>
        <w:t>全部为一般公共预算财政拨款收入，</w:t>
      </w:r>
      <w:r>
        <w:rPr>
          <w:rFonts w:ascii="Times New Roman" w:eastAsia="仿宋_GB2312"/>
          <w:b w:val="0"/>
          <w:sz w:val="32"/>
          <w:szCs w:val="32"/>
        </w:rPr>
        <w:t>比上年增加156.19万元，增长11.9%，主要原因是</w:t>
      </w:r>
      <w:r>
        <w:rPr>
          <w:rFonts w:hint="eastAsia" w:ascii="Times New Roman" w:eastAsia="仿宋_GB2312"/>
          <w:b w:val="0"/>
          <w:sz w:val="32"/>
          <w:szCs w:val="32"/>
          <w:lang w:eastAsia="zh-CN"/>
        </w:rPr>
        <w:t>工资正常增长、增加退休人员抚恤金、增加一笔国家赔偿金</w:t>
      </w:r>
      <w:r>
        <w:rPr>
          <w:rFonts w:ascii="Times New Roman" w:eastAsia="仿宋_GB2312"/>
          <w:b w:val="0"/>
          <w:sz w:val="32"/>
          <w:szCs w:val="32"/>
        </w:rPr>
        <w:t>；本年支出1,468.33万元，比上年增加156.19万元，增长11.9%，主要原因是</w:t>
      </w:r>
      <w:r>
        <w:rPr>
          <w:rFonts w:hint="eastAsia" w:ascii="Times New Roman" w:eastAsia="仿宋_GB2312"/>
          <w:b w:val="0"/>
          <w:sz w:val="32"/>
          <w:szCs w:val="32"/>
          <w:lang w:eastAsia="zh-CN"/>
        </w:rPr>
        <w:t>工资正常增长、增加退休人员抚恤金、增加一笔国家赔偿金</w:t>
      </w:r>
      <w:r>
        <w:rPr>
          <w:rFonts w:ascii="Times New Roman" w:eastAsia="仿宋_GB2312"/>
          <w:b w:val="0"/>
          <w:sz w:val="32"/>
          <w:szCs w:val="32"/>
        </w:rPr>
        <w:t>。</w:t>
      </w:r>
      <w:r>
        <w:rPr>
          <w:rFonts w:hint="eastAsia" w:ascii="Times New Roman" w:eastAsia="仿宋_GB2312"/>
          <w:b w:val="0"/>
          <w:sz w:val="32"/>
          <w:szCs w:val="32"/>
        </w:rPr>
        <w:t>本单位202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年度无政府性基金预算拨款收入和国有资本经营预算财政拨款收入。</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0"/>
          <w:sz w:val="32"/>
          <w:szCs w:val="32"/>
          <w:highlight w:val="none"/>
          <w:lang w:val="en-US" w:eastAsia="zh-CN" w:bidi="ar-SA"/>
        </w:rPr>
      </w:pPr>
      <w:r>
        <w:rPr>
          <w:rFonts w:ascii="Times New Roman" w:eastAsia="仿宋_GB2312"/>
          <w:b w:val="0"/>
          <w:sz w:val="32"/>
          <w:szCs w:val="32"/>
        </w:rPr>
        <w:t>本单位2025年度财政拨款本年收入1,468.33万元，</w:t>
      </w:r>
      <w:r>
        <w:rPr>
          <w:rFonts w:hint="eastAsia" w:ascii="Times New Roman" w:eastAsia="仿宋_GB2312"/>
          <w:b w:val="0"/>
          <w:sz w:val="32"/>
          <w:szCs w:val="32"/>
          <w:lang w:eastAsia="zh-CN"/>
        </w:rPr>
        <w:t>全部为</w:t>
      </w:r>
      <w:r>
        <w:rPr>
          <w:rFonts w:hint="eastAsia" w:ascii="Times New Roman" w:eastAsia="仿宋_GB2312"/>
          <w:b w:val="0"/>
          <w:sz w:val="32"/>
          <w:szCs w:val="32"/>
        </w:rPr>
        <w:t>一般公共预算财政拨款</w:t>
      </w:r>
      <w:r>
        <w:rPr>
          <w:rFonts w:hint="eastAsia" w:ascii="Times New Roman" w:eastAsia="仿宋_GB2312"/>
          <w:b w:val="0"/>
          <w:sz w:val="32"/>
          <w:szCs w:val="32"/>
          <w:lang w:eastAsia="zh-CN"/>
        </w:rPr>
        <w:t>，</w:t>
      </w:r>
      <w:r>
        <w:rPr>
          <w:rFonts w:ascii="Times New Roman" w:eastAsia="仿宋_GB2312"/>
          <w:b w:val="0"/>
          <w:sz w:val="32"/>
          <w:szCs w:val="32"/>
        </w:rPr>
        <w:t>完成年初预算的106.4%，比年初预算增加88.26万元，决算数大于预算数主要原因是</w:t>
      </w:r>
      <w:r>
        <w:rPr>
          <w:rFonts w:hint="eastAsia" w:ascii="Times New Roman" w:eastAsia="仿宋_GB2312"/>
          <w:b w:val="0"/>
          <w:sz w:val="32"/>
          <w:szCs w:val="32"/>
          <w:lang w:eastAsia="zh-CN"/>
        </w:rPr>
        <w:t>新增一笔国家赔偿金</w:t>
      </w:r>
      <w:r>
        <w:rPr>
          <w:rFonts w:ascii="Times New Roman" w:eastAsia="仿宋_GB2312"/>
          <w:b w:val="0"/>
          <w:sz w:val="32"/>
          <w:szCs w:val="32"/>
        </w:rPr>
        <w:t>；本年支出1,468.33万元，完成年初预算的106.4%，比年初预算增加88.26万元，决算数大于预算数主要原因是</w:t>
      </w:r>
      <w:r>
        <w:rPr>
          <w:rFonts w:hint="eastAsia" w:ascii="Times New Roman" w:eastAsia="仿宋_GB2312"/>
          <w:b w:val="0"/>
          <w:sz w:val="32"/>
          <w:szCs w:val="32"/>
          <w:lang w:eastAsia="zh-CN"/>
        </w:rPr>
        <w:t>增加退休人员抚恤金、新增一笔国家赔偿金</w:t>
      </w:r>
      <w:r>
        <w:rPr>
          <w:rFonts w:ascii="Times New Roman" w:eastAsia="仿宋_GB2312"/>
          <w:b w:val="0"/>
          <w:sz w:val="32"/>
          <w:szCs w:val="32"/>
        </w:rPr>
        <w:t>。</w:t>
      </w:r>
      <w:r>
        <w:rPr>
          <w:rFonts w:hint="eastAsia" w:ascii="Times New Roman" w:eastAsia="仿宋_GB2312"/>
          <w:b w:val="0"/>
          <w:sz w:val="32"/>
          <w:szCs w:val="32"/>
        </w:rPr>
        <w:t>本单位2025年度无政府性基金预算拨款收入和国有资本经营预算财政拨款收入。</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2025年度财政拨款支出1,468.33万元，</w:t>
      </w:r>
      <w:r>
        <w:rPr>
          <w:rFonts w:hint="eastAsia" w:ascii="Times New Roman" w:eastAsia="仿宋_GB2312"/>
          <w:b w:val="0"/>
          <w:sz w:val="32"/>
          <w:szCs w:val="32"/>
        </w:rPr>
        <w:t>全部为一般公共预算财政拨款支出，</w:t>
      </w:r>
      <w:r>
        <w:rPr>
          <w:rFonts w:ascii="Times New Roman" w:eastAsia="仿宋_GB2312"/>
          <w:b w:val="0"/>
          <w:sz w:val="32"/>
          <w:szCs w:val="32"/>
        </w:rPr>
        <w:t>主要用于以下方面：</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一般公共服务（类）支出51.05万元，占3.5%，主要用于</w:t>
      </w:r>
      <w:r>
        <w:rPr>
          <w:rFonts w:hint="eastAsia" w:ascii="Times New Roman" w:eastAsia="仿宋_GB2312"/>
          <w:b w:val="0"/>
          <w:sz w:val="32"/>
          <w:szCs w:val="32"/>
          <w:lang w:eastAsia="zh-CN"/>
        </w:rPr>
        <w:t>国家赔偿金</w:t>
      </w:r>
      <w:r>
        <w:rPr>
          <w:rFonts w:ascii="Times New Roman" w:eastAsia="仿宋_GB2312"/>
          <w:b w:val="0"/>
          <w:sz w:val="32"/>
          <w:szCs w:val="32"/>
        </w:rPr>
        <w:t>；公共安全类（类）支出1,122.92万元，占76.5%，主要用于</w:t>
      </w:r>
      <w:r>
        <w:rPr>
          <w:rFonts w:hint="eastAsia" w:ascii="Times New Roman" w:eastAsia="仿宋_GB2312"/>
          <w:b w:val="0"/>
          <w:sz w:val="32"/>
          <w:szCs w:val="32"/>
        </w:rPr>
        <w:t>人员工资、津贴补贴、日常公用经费</w:t>
      </w:r>
      <w:r>
        <w:rPr>
          <w:rFonts w:ascii="Times New Roman" w:eastAsia="仿宋_GB2312"/>
          <w:b w:val="0"/>
          <w:sz w:val="32"/>
          <w:szCs w:val="32"/>
        </w:rPr>
        <w:t>等支出；社会保障和就业 （类）支出227.99万元，占15.5%</w:t>
      </w:r>
      <w:r>
        <w:rPr>
          <w:rFonts w:hint="eastAsia" w:ascii="Times New Roman" w:eastAsia="仿宋_GB2312"/>
          <w:b w:val="0"/>
          <w:sz w:val="32"/>
          <w:szCs w:val="32"/>
          <w:lang w:eastAsia="zh-CN"/>
        </w:rPr>
        <w:t>，</w:t>
      </w:r>
      <w:r>
        <w:rPr>
          <w:rFonts w:ascii="Times New Roman" w:eastAsia="仿宋_GB2312"/>
          <w:b w:val="0"/>
          <w:sz w:val="32"/>
          <w:szCs w:val="32"/>
        </w:rPr>
        <w:t>主要用于</w:t>
      </w:r>
      <w:r>
        <w:rPr>
          <w:rFonts w:hint="eastAsia" w:ascii="Times New Roman" w:eastAsia="仿宋_GB2312"/>
          <w:b w:val="0"/>
          <w:sz w:val="32"/>
          <w:szCs w:val="32"/>
          <w:lang w:eastAsia="zh-CN"/>
        </w:rPr>
        <w:t>养老保险、职业年金</w:t>
      </w:r>
      <w:r>
        <w:rPr>
          <w:rFonts w:ascii="Times New Roman" w:eastAsia="仿宋_GB2312"/>
          <w:b w:val="0"/>
          <w:sz w:val="32"/>
          <w:szCs w:val="32"/>
        </w:rPr>
        <w:t>等支出；卫生健康（类）支出21.73万元，占1.5%</w:t>
      </w:r>
      <w:r>
        <w:rPr>
          <w:rFonts w:hint="eastAsia" w:ascii="Times New Roman" w:eastAsia="仿宋_GB2312"/>
          <w:b w:val="0"/>
          <w:sz w:val="32"/>
          <w:szCs w:val="32"/>
          <w:lang w:eastAsia="zh-CN"/>
        </w:rPr>
        <w:t>，主要用于医疗保险支出</w:t>
      </w:r>
      <w:r>
        <w:rPr>
          <w:rFonts w:ascii="Times New Roman" w:eastAsia="仿宋_GB2312"/>
          <w:b w:val="0"/>
          <w:sz w:val="32"/>
          <w:szCs w:val="32"/>
        </w:rPr>
        <w:t>；住房保障（类）支出44.64万元，占3.0%，主要用于</w:t>
      </w:r>
      <w:r>
        <w:rPr>
          <w:rFonts w:hint="eastAsia" w:ascii="Times New Roman" w:eastAsia="仿宋_GB2312"/>
          <w:b w:val="0"/>
          <w:sz w:val="32"/>
          <w:szCs w:val="32"/>
          <w:lang w:eastAsia="zh-CN"/>
        </w:rPr>
        <w:t>住房公积金</w:t>
      </w:r>
      <w:r>
        <w:rPr>
          <w:rFonts w:ascii="Times New Roman" w:eastAsia="仿宋_GB2312"/>
          <w:b w:val="0"/>
          <w:sz w:val="32"/>
          <w:szCs w:val="32"/>
        </w:rPr>
        <w:t>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2025年度财政拨款基本支出997.62万元，其中：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人员经费870.26万元，主要包括基本工资、津贴补贴、奖金、绩效工资、机关事业部门基本养老保险缴费、职业年金缴费、职工基本医疗保险缴费、住房公积金、医疗费、 退休费、 抚恤金、生活补助、其他对个人和家庭的补助支出。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127.36万元，主要包括办公费、印刷费、手续费、水费、电费、邮电费、取暖费、差旅费、维修（护）费、培训费、公务接待费、劳务费、委托业务费、工会经费、福利费、公务用车运行维护费、其他交通费用。</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本单位2025年度“三公”经费财政拨款支出预算为31.06万元，支出决算为31.06万元，完成预算的100.0%；较2024年度决算增加5.76万元，增长22.8%，主要原因是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w:t>
      </w:r>
    </w:p>
    <w:p>
      <w:pPr>
        <w:widowControl/>
        <w:spacing w:before="0" w:beforeLines="0" w:beforeAutospacing="0" w:after="0" w:afterLines="0" w:afterAutospacing="0" w:line="360" w:lineRule="auto"/>
        <w:ind w:firstLine="643" w:firstLineChars="200"/>
        <w:jc w:val="left"/>
        <w:rPr>
          <w:rFonts w:hint="default" w:ascii="Times New Roman" w:eastAsia="仿宋_GB2312"/>
          <w:b w:val="0"/>
          <w:sz w:val="32"/>
          <w:szCs w:val="32"/>
          <w:lang w:val="en-US" w:eastAsia="zh-CN"/>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w:t>
      </w:r>
      <w:r>
        <w:rPr>
          <w:rFonts w:hint="eastAsia" w:ascii="Times New Roman" w:eastAsia="仿宋_GB2312"/>
          <w:b w:val="0"/>
          <w:sz w:val="32"/>
          <w:szCs w:val="32"/>
          <w:lang w:eastAsia="zh-CN"/>
        </w:rPr>
        <w:t>及</w:t>
      </w:r>
      <w:r>
        <w:rPr>
          <w:rFonts w:ascii="Times New Roman" w:eastAsia="仿宋_GB2312"/>
          <w:b w:val="0"/>
          <w:sz w:val="32"/>
          <w:szCs w:val="32"/>
        </w:rPr>
        <w:t>运行维护费预算为29.80万元，支出决算29.80万元，完成预算的100.0%；较上年增加4.50万元，增长17.8%</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r>
        <w:rPr>
          <w:rFonts w:hint="eastAsia" w:ascii="Times New Roman" w:eastAsia="仿宋_GB2312"/>
          <w:b w:val="0"/>
          <w:sz w:val="32"/>
          <w:szCs w:val="32"/>
          <w:lang w:eastAsia="zh-CN"/>
        </w:rPr>
        <w:t>其中：</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公务用车购置费支出0.00万元</w:t>
      </w:r>
      <w:r>
        <w:rPr>
          <w:rFonts w:hint="eastAsia" w:ascii="Times New Roman" w:eastAsia="仿宋_GB2312"/>
          <w:b w:val="0"/>
          <w:sz w:val="32"/>
          <w:szCs w:val="32"/>
          <w:lang w:eastAsia="zh-CN"/>
        </w:rPr>
        <w:t>；</w:t>
      </w:r>
      <w:r>
        <w:rPr>
          <w:rFonts w:hint="eastAsia" w:ascii="Times New Roman" w:eastAsia="仿宋_GB2312"/>
          <w:b w:val="0"/>
          <w:sz w:val="32"/>
          <w:szCs w:val="32"/>
        </w:rPr>
        <w:t>本单位202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年度公务用车购置量0辆，未发生“公务用车购置”经费支出，与预算持平，与202</w:t>
      </w:r>
      <w:r>
        <w:rPr>
          <w:rFonts w:hint="eastAsia" w:ascii="Times New Roman" w:eastAsia="仿宋_GB2312"/>
          <w:b w:val="0"/>
          <w:sz w:val="32"/>
          <w:szCs w:val="32"/>
          <w:lang w:val="en-US" w:eastAsia="zh-CN"/>
        </w:rPr>
        <w:t>4</w:t>
      </w:r>
      <w:r>
        <w:rPr>
          <w:rFonts w:hint="eastAsia" w:ascii="Times New Roman" w:eastAsia="仿宋_GB2312"/>
          <w:b w:val="0"/>
          <w:sz w:val="32"/>
          <w:szCs w:val="32"/>
        </w:rPr>
        <w:t>年决算支出持平。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公务用车运行维护费支出29.80万元：</w:t>
      </w:r>
      <w:r>
        <w:rPr>
          <w:rFonts w:ascii="Times New Roman" w:eastAsia="仿宋_GB2312"/>
          <w:b w:val="0"/>
          <w:sz w:val="32"/>
          <w:szCs w:val="32"/>
        </w:rPr>
        <w:t>本单位2025年度单位公务用车保有量10辆，发生运行维护费支出29.80万元。公车运行维护费支出较预算增加0.00万元；较上年增加4.50万元，增长17.8%，主要原因是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本单位2025年度公务接待费支出预算为1.26万元，支出决算1.26万元，完成预算的100.0%。公务接待费支出较预算增加0.00万元；较上年度增加1.26万元，增长100.00%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eastAsia="zh-CN"/>
        </w:rPr>
        <w:t>本年度履行检察监督，上级调研督导、工作指导批次增加，跨区域协作交流增加</w:t>
      </w:r>
      <w:r>
        <w:rPr>
          <w:rFonts w:ascii="Times New Roman" w:eastAsia="仿宋_GB2312"/>
          <w:b w:val="0"/>
          <w:sz w:val="32"/>
          <w:szCs w:val="32"/>
        </w:rPr>
        <w:t>。本年度共发生公务接待72批次、360人次。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本单位2025年度机关运行经费支出127.36万元，较2024年度增加16.10万元，增长14.5%。主要原因是</w:t>
      </w:r>
      <w:r>
        <w:rPr>
          <w:rFonts w:hint="eastAsia" w:ascii="Times New Roman" w:eastAsia="仿宋_GB2312"/>
          <w:b w:val="0"/>
          <w:sz w:val="32"/>
          <w:szCs w:val="32"/>
          <w:lang w:eastAsia="zh-CN"/>
        </w:rPr>
        <w:t>办公用房老化，维修维护增加；公务接待费增加；公务用车运行维护费增加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w:t>
      </w:r>
      <w:r>
        <w:rPr>
          <w:rFonts w:hint="eastAsia" w:ascii="Times New Roman" w:eastAsia="仿宋_GB2312"/>
          <w:b w:val="0"/>
          <w:sz w:val="32"/>
          <w:szCs w:val="32"/>
          <w:lang w:val="en-US" w:eastAsia="zh-CN"/>
        </w:rPr>
        <w:t>112.24</w:t>
      </w:r>
      <w:r>
        <w:rPr>
          <w:rFonts w:ascii="Times New Roman" w:eastAsia="仿宋_GB2312"/>
          <w:b w:val="0"/>
          <w:sz w:val="32"/>
          <w:szCs w:val="32"/>
        </w:rPr>
        <w:t>万元，从采购类型来看，政府采购货物支出</w:t>
      </w:r>
      <w:r>
        <w:rPr>
          <w:rFonts w:hint="eastAsia" w:ascii="Times New Roman" w:eastAsia="仿宋_GB2312"/>
          <w:b w:val="0"/>
          <w:sz w:val="32"/>
          <w:szCs w:val="32"/>
          <w:lang w:val="en-US" w:eastAsia="zh-CN"/>
        </w:rPr>
        <w:t>112.24</w:t>
      </w:r>
      <w:r>
        <w:rPr>
          <w:rFonts w:ascii="Times New Roman" w:eastAsia="仿宋_GB2312"/>
          <w:b w:val="0"/>
          <w:sz w:val="32"/>
          <w:szCs w:val="32"/>
        </w:rPr>
        <w:t>万元、政府采购工程支出0.00万元、政府采购服务支出0.00万元。授予中小企业合同金额</w:t>
      </w:r>
      <w:r>
        <w:rPr>
          <w:rFonts w:hint="eastAsia" w:ascii="Times New Roman" w:eastAsia="仿宋_GB2312"/>
          <w:b w:val="0"/>
          <w:sz w:val="32"/>
          <w:szCs w:val="32"/>
        </w:rPr>
        <w:t>112.24</w:t>
      </w:r>
      <w:r>
        <w:rPr>
          <w:rFonts w:ascii="Times New Roman" w:eastAsia="仿宋_GB2312"/>
          <w:b w:val="0"/>
          <w:sz w:val="32"/>
          <w:szCs w:val="32"/>
        </w:rPr>
        <w:t>万元，占政府采购支出总额的0.0%，其中授予小微企业合同金额</w:t>
      </w:r>
      <w:r>
        <w:rPr>
          <w:rFonts w:hint="eastAsia" w:ascii="Times New Roman" w:eastAsia="仿宋_GB2312"/>
          <w:b w:val="0"/>
          <w:sz w:val="32"/>
          <w:szCs w:val="32"/>
        </w:rPr>
        <w:t>112.24</w:t>
      </w:r>
      <w:r>
        <w:rPr>
          <w:rFonts w:ascii="Times New Roman" w:eastAsia="仿宋_GB2312"/>
          <w:b w:val="0"/>
          <w:sz w:val="32"/>
          <w:szCs w:val="32"/>
        </w:rPr>
        <w:t>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截至2025年12月31日，本单位共有车辆10辆，比上年减少1辆，主要是</w:t>
      </w:r>
      <w:r>
        <w:rPr>
          <w:rFonts w:hint="eastAsia" w:ascii="Times New Roman" w:eastAsia="仿宋_GB2312"/>
          <w:b w:val="0"/>
          <w:sz w:val="32"/>
          <w:szCs w:val="32"/>
          <w:lang w:eastAsia="zh-CN"/>
        </w:rPr>
        <w:t>车辆处置一辆，尚未完成采购</w:t>
      </w:r>
      <w:r>
        <w:rPr>
          <w:rFonts w:ascii="Times New Roman" w:eastAsia="仿宋_GB2312"/>
          <w:b w:val="0"/>
          <w:sz w:val="32"/>
          <w:szCs w:val="32"/>
        </w:rPr>
        <w:t>。其中，副部（省）级及以上领导用车0辆，主要负责人用车0辆，机要通信用车</w:t>
      </w:r>
      <w:r>
        <w:rPr>
          <w:rFonts w:hint="eastAsia" w:ascii="Times New Roman" w:eastAsia="仿宋_GB2312"/>
          <w:b w:val="0"/>
          <w:sz w:val="32"/>
          <w:szCs w:val="32"/>
          <w:lang w:val="en-US" w:eastAsia="zh-CN"/>
        </w:rPr>
        <w:t>1</w:t>
      </w:r>
      <w:r>
        <w:rPr>
          <w:rFonts w:ascii="Times New Roman" w:eastAsia="仿宋_GB2312"/>
          <w:b w:val="0"/>
          <w:sz w:val="32"/>
          <w:szCs w:val="32"/>
        </w:rPr>
        <w:t>辆，应急保障用车1辆，执法执勤用车4辆，特种专业技术用车4辆，离退休干部用车0辆，其他用车</w:t>
      </w:r>
      <w:r>
        <w:rPr>
          <w:rFonts w:hint="eastAsia" w:ascii="Times New Roman" w:eastAsia="仿宋_GB2312"/>
          <w:b w:val="0"/>
          <w:sz w:val="32"/>
          <w:szCs w:val="32"/>
          <w:lang w:val="en-US" w:eastAsia="zh-CN"/>
        </w:rPr>
        <w:t>0</w:t>
      </w:r>
      <w:r>
        <w:rPr>
          <w:rFonts w:ascii="Times New Roman" w:eastAsia="仿宋_GB2312"/>
          <w:b w:val="0"/>
          <w:sz w:val="32"/>
          <w:szCs w:val="32"/>
        </w:rPr>
        <w:t>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rPr>
        <w:t>470.713376</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15</w:t>
      </w:r>
      <w:r>
        <w:rPr>
          <w:rFonts w:ascii="Times New Roman" w:eastAsia="仿宋_GB2312"/>
          <w:b w:val="0"/>
          <w:sz w:val="32"/>
          <w:szCs w:val="32"/>
        </w:rPr>
        <w:t>个，涉及资金</w:t>
      </w:r>
      <w:r>
        <w:rPr>
          <w:rFonts w:hint="eastAsia" w:ascii="Times New Roman" w:eastAsia="仿宋_GB2312"/>
          <w:b w:val="0"/>
          <w:sz w:val="32"/>
          <w:szCs w:val="32"/>
          <w:lang w:val="en-US" w:eastAsia="zh-CN"/>
        </w:rPr>
        <w:t>470.713376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2</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138.7</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rPr>
        <w:t>通过项目实施，完成了年初设定的各项绩效目标</w:t>
      </w:r>
      <w:r>
        <w:rPr>
          <w:rFonts w:ascii="Times New Roman" w:eastAsia="仿宋_GB2312"/>
          <w:b w:val="0"/>
          <w:sz w:val="32"/>
          <w:szCs w:val="32"/>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仿宋_GB2312"/>
          <w:sz w:val="32"/>
          <w:szCs w:val="32"/>
        </w:rPr>
      </w:pPr>
      <w:r>
        <w:rPr>
          <w:rFonts w:ascii="Times New Roman" w:eastAsia="仿宋_GB2312"/>
          <w:b/>
          <w:sz w:val="32"/>
          <w:szCs w:val="32"/>
        </w:rPr>
        <w:t>（二）部门决算中项目绩效自评结果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val="en-US" w:eastAsia="zh-CN"/>
        </w:rPr>
        <w:t>15</w:t>
      </w:r>
      <w:r>
        <w:rPr>
          <w:rFonts w:ascii="Times New Roman" w:eastAsia="仿宋_GB2312"/>
          <w:b w:val="0"/>
          <w:sz w:val="32"/>
          <w:szCs w:val="32"/>
        </w:rPr>
        <w:t>个项目绩效自评结果</w:t>
      </w:r>
      <w:r>
        <w:rPr>
          <w:rFonts w:hint="eastAsia" w:ascii="Times New Roman" w:eastAsia="仿宋_GB2312"/>
          <w:b w:val="0"/>
          <w:sz w:val="32"/>
          <w:szCs w:val="32"/>
        </w:rPr>
        <w:t>（其中</w:t>
      </w:r>
      <w:r>
        <w:rPr>
          <w:rFonts w:hint="eastAsia" w:ascii="Times New Roman" w:eastAsia="仿宋_GB2312"/>
          <w:b w:val="0"/>
          <w:sz w:val="32"/>
          <w:szCs w:val="32"/>
          <w:lang w:val="en-US" w:eastAsia="zh-CN"/>
        </w:rPr>
        <w:t>9</w:t>
      </w:r>
      <w:r>
        <w:rPr>
          <w:rFonts w:hint="eastAsia" w:ascii="Times New Roman" w:eastAsia="仿宋_GB2312"/>
          <w:b w:val="0"/>
          <w:sz w:val="32"/>
          <w:szCs w:val="32"/>
        </w:rPr>
        <w:t>个项目为涉密项目）</w:t>
      </w:r>
      <w:r>
        <w:rPr>
          <w:rFonts w:ascii="Times New Roman" w:eastAsia="仿宋_GB2312"/>
          <w:b w:val="0"/>
          <w:sz w:val="32"/>
          <w:szCs w:val="32"/>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Times New Roman" w:eastAsia="仿宋_GB2312"/>
          <w:b w:val="0"/>
          <w:sz w:val="32"/>
          <w:szCs w:val="32"/>
        </w:rPr>
      </w:pPr>
      <w:r>
        <w:rPr>
          <w:rFonts w:hint="eastAsia" w:ascii="Times New Roman" w:eastAsia="仿宋_GB2312"/>
          <w:b w:val="0"/>
          <w:sz w:val="32"/>
          <w:szCs w:val="32"/>
        </w:rPr>
        <w:t xml:space="preserve">业务保障经费支出自评综述：根据年初设定的绩效目标，项目支出自评得分为100分。全年预算数为54万元，执行数为54万元，完成预算的100%。项目绩效完成情况：通过运转经费的支出，保障了单位正常运行，保障了检查工作顺利开展。未发现问题。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劳务派遣人员经费支出自评综述：根据年初设定的绩效目标，项目支出自评得分为100分。全年预算数为31万元，执行数为31万元，完成预算的 100%。项目绩效目标完成情况:通过运转经费的支出，保障了劳动聘用人员工资及社保的正常支出，提高了工作效率，保障了办案工作顺利进行。 </w:t>
      </w:r>
      <w:r>
        <w:rPr>
          <w:rFonts w:hint="eastAsia" w:ascii="Times New Roman" w:eastAsia="仿宋_GB2312"/>
          <w:b w:val="0"/>
          <w:sz w:val="32"/>
          <w:szCs w:val="32"/>
        </w:rPr>
        <w:t xml:space="preserve">未发现问题。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聘用制书记员经费支出自评综述：根据年初设定的绩效目标，项目支出自评得分为100分。全年预算数为107.7万元，执行数为107.7万元，完成预算的 100%。项目绩效目标完成情况:通过运转经费的支出，及时保障了书记员工资的发放及社保公积金的缴纳，</w:t>
      </w:r>
      <w:r>
        <w:rPr>
          <w:rFonts w:hint="default" w:ascii="Times New Roman" w:hAnsi="Times New Roman" w:eastAsia="仿宋_GB2312" w:cs="Times New Roman"/>
          <w:sz w:val="32"/>
          <w:szCs w:val="32"/>
          <w:lang w:val="en-US" w:eastAsia="zh-CN"/>
        </w:rPr>
        <w:t>提高了工作效率，保障了办案工作顺利进行。</w:t>
      </w:r>
      <w:r>
        <w:rPr>
          <w:rFonts w:hint="default" w:ascii="Times New Roman" w:hAnsi="Times New Roman" w:eastAsia="仿宋_GB2312" w:cs="Times New Roman"/>
          <w:b w:val="0"/>
          <w:sz w:val="32"/>
          <w:szCs w:val="32"/>
        </w:rPr>
        <w:t xml:space="preserve">未发现问题。 </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党员组织活动经费支出自评综述：根据年初设定的绩效目标，项目支出自评得分为100分。全年预算数为4.46万元，执行数为4.46万元，完成预算的 100%。通过运转经费的支出，提高了我院党员综合素质，党员队伍建设进一步完善加强。未发现问题。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单位运行电费支出自评综述：根据年初设定的绩效目标，项目支出自评得分为100分。全年预算数为10万元，执行数为10万元，完成预算的 100%。项目绩效目标完成情况：保障了高质量完成工作安排。通过此经费的使用，有效打击犯罪活动，提升我院检察工作质效。未发现问题。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文件资料印刷费</w:t>
      </w:r>
      <w:r>
        <w:rPr>
          <w:rFonts w:hint="default" w:ascii="Times New Roman" w:hAnsi="Times New Roman" w:eastAsia="仿宋_GB2312" w:cs="Times New Roman"/>
          <w:sz w:val="32"/>
          <w:szCs w:val="32"/>
        </w:rPr>
        <w:t>支出自评综述：根据年初设定的绩效目标，项目支出自评得分为</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分。全年预算数为</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，完成预算的 100%。项目绩效目标完成情况：</w:t>
      </w:r>
      <w:r>
        <w:rPr>
          <w:rFonts w:hint="default" w:ascii="Times New Roman" w:hAnsi="Times New Roman" w:eastAsia="仿宋_GB2312" w:cs="Times New Roman"/>
          <w:sz w:val="32"/>
          <w:szCs w:val="32"/>
        </w:rPr>
        <w:t>通过此经费的使用，有效打击犯罪活动，提升我院检察工作质效。</w:t>
      </w:r>
      <w:r>
        <w:rPr>
          <w:rFonts w:hint="eastAsia" w:ascii="Times New Roman" w:hAnsi="Times New Roman" w:eastAsia="仿宋_GB2312" w:cs="Times New Roman"/>
          <w:sz w:val="32"/>
          <w:szCs w:val="32"/>
          <w:lang w:eastAsia="zh-CN"/>
        </w:rPr>
        <w:t>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附绩效自评表如下：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32"/>
          <w:szCs w:val="32"/>
          <w:lang w:eastAsia="zh-CN"/>
        </w:rPr>
      </w:pPr>
    </w:p>
    <w:tbl>
      <w:tblPr>
        <w:tblStyle w:val="11"/>
        <w:tblW w:w="979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6"/>
        <w:gridCol w:w="13"/>
        <w:gridCol w:w="48"/>
        <w:gridCol w:w="131"/>
        <w:gridCol w:w="1099"/>
        <w:gridCol w:w="7"/>
        <w:gridCol w:w="32"/>
        <w:gridCol w:w="133"/>
        <w:gridCol w:w="178"/>
        <w:gridCol w:w="36"/>
        <w:gridCol w:w="1030"/>
        <w:gridCol w:w="1"/>
        <w:gridCol w:w="58"/>
        <w:gridCol w:w="108"/>
        <w:gridCol w:w="767"/>
        <w:gridCol w:w="82"/>
        <w:gridCol w:w="17"/>
        <w:gridCol w:w="67"/>
        <w:gridCol w:w="2"/>
        <w:gridCol w:w="182"/>
        <w:gridCol w:w="821"/>
        <w:gridCol w:w="88"/>
        <w:gridCol w:w="11"/>
        <w:gridCol w:w="146"/>
        <w:gridCol w:w="844"/>
        <w:gridCol w:w="76"/>
        <w:gridCol w:w="47"/>
        <w:gridCol w:w="17"/>
        <w:gridCol w:w="55"/>
        <w:gridCol w:w="877"/>
        <w:gridCol w:w="8"/>
        <w:gridCol w:w="91"/>
        <w:gridCol w:w="219"/>
        <w:gridCol w:w="723"/>
        <w:gridCol w:w="76"/>
        <w:gridCol w:w="133"/>
        <w:gridCol w:w="95"/>
        <w:gridCol w:w="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298" w:hRule="atLeast"/>
        </w:trPr>
        <w:tc>
          <w:tcPr>
            <w:tcW w:w="9230" w:type="dxa"/>
            <w:gridSpan w:val="3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298" w:hRule="atLeast"/>
        </w:trPr>
        <w:tc>
          <w:tcPr>
            <w:tcW w:w="9230" w:type="dxa"/>
            <w:gridSpan w:val="3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18"/>
                <w:rFonts w:hint="eastAsia" w:ascii="宋体" w:hAnsi="宋体" w:eastAsia="宋体" w:cs="宋体"/>
                <w:sz w:val="20"/>
                <w:szCs w:val="20"/>
                <w:lang w:val="en-US" w:eastAsia="zh-CN" w:bidi="ar"/>
              </w:rPr>
              <w:t xml:space="preserve">    2025 </w:t>
            </w:r>
            <w:r>
              <w:rPr>
                <w:rFonts w:hint="eastAsia" w:ascii="宋体" w:hAnsi="宋体" w:eastAsia="宋体" w:cs="宋体"/>
                <w:i w:val="0"/>
                <w:iCs w:val="0"/>
                <w:color w:val="000000"/>
                <w:kern w:val="0"/>
                <w:sz w:val="20"/>
                <w:szCs w:val="20"/>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298" w:hRule="atLeast"/>
        </w:trPr>
        <w:tc>
          <w:tcPr>
            <w:tcW w:w="1277"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647" w:type="dxa"/>
            <w:gridSpan w:val="9"/>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933" w:type="dxa"/>
            <w:gridSpan w:val="3"/>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71"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89"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13"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730" w:hRule="atLeast"/>
        </w:trPr>
        <w:tc>
          <w:tcPr>
            <w:tcW w:w="12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业务保障经费</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Style w:val="18"/>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20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64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08"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4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08"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80" w:type="dxa"/>
            <w:gridSpan w:val="1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3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12"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0" w:type="dxa"/>
            <w:gridSpan w:val="12"/>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通过及时支付办公所需经费，保障单位业务的正常开展。</w:t>
            </w:r>
          </w:p>
        </w:tc>
        <w:tc>
          <w:tcPr>
            <w:tcW w:w="3332"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及时支付办公所需经费，保障了单位业务的正常开展。</w:t>
            </w:r>
          </w:p>
        </w:tc>
        <w:tc>
          <w:tcPr>
            <w:tcW w:w="104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12"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0"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32"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12"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0"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32"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406"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Style w:val="18"/>
                <w:rFonts w:hint="eastAsia" w:ascii="宋体" w:hAnsi="宋体" w:eastAsia="宋体" w:cs="宋体"/>
                <w:sz w:val="20"/>
                <w:szCs w:val="20"/>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410" w:type="dxa"/>
            <w:gridSpan w:val="6"/>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保障业务数量</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≥850件</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984</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406"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406"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办理案件及时率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12次</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每件案件办理成本</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≤0.07万元</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0.62</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406"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业务保障成本</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≤54万元</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54万元</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903"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Style w:val="18"/>
                <w:rFonts w:hint="eastAsia" w:ascii="宋体" w:hAnsi="宋体" w:eastAsia="宋体" w:cs="宋体"/>
                <w:sz w:val="20"/>
                <w:szCs w:val="20"/>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Style w:val="18"/>
                <w:rFonts w:hint="eastAsia" w:ascii="宋体" w:hAnsi="宋体" w:eastAsia="宋体" w:cs="宋体"/>
                <w:sz w:val="20"/>
                <w:szCs w:val="20"/>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410" w:type="dxa"/>
            <w:gridSpan w:val="6"/>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605"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Style w:val="18"/>
                <w:rFonts w:hint="eastAsia" w:ascii="宋体" w:hAnsi="宋体" w:eastAsia="宋体" w:cs="宋体"/>
                <w:sz w:val="20"/>
                <w:szCs w:val="20"/>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单位运行稳定率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797"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7"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Style w:val="18"/>
                <w:rFonts w:hint="eastAsia" w:ascii="宋体" w:hAnsi="宋体" w:eastAsia="宋体" w:cs="宋体"/>
                <w:sz w:val="20"/>
                <w:szCs w:val="20"/>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Style w:val="18"/>
                <w:rFonts w:hint="eastAsia" w:ascii="宋体" w:hAnsi="宋体" w:eastAsia="宋体" w:cs="宋体"/>
                <w:sz w:val="20"/>
                <w:szCs w:val="20"/>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410"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1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308" w:hRule="atLeast"/>
        </w:trPr>
        <w:tc>
          <w:tcPr>
            <w:tcW w:w="1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912" w:type="dxa"/>
            <w:gridSpan w:val="2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560" w:type="dxa"/>
          <w:trHeight w:val="1201" w:hRule="atLeast"/>
        </w:trPr>
        <w:tc>
          <w:tcPr>
            <w:tcW w:w="12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953" w:type="dxa"/>
            <w:gridSpan w:val="3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790" w:type="dxa"/>
            <w:gridSpan w:val="3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27"/>
                <w:rFonts w:hint="eastAsia" w:ascii="宋体" w:hAnsi="宋体" w:eastAsia="宋体" w:cs="宋体"/>
                <w:b/>
                <w:bCs/>
                <w:sz w:val="20"/>
                <w:szCs w:val="20"/>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90" w:type="dxa"/>
            <w:gridSpan w:val="3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2025 </w:t>
            </w:r>
            <w:r>
              <w:rPr>
                <w:rStyle w:val="23"/>
                <w:rFonts w:hint="eastAsia" w:ascii="宋体" w:hAnsi="宋体" w:eastAsia="宋体" w:cs="宋体"/>
                <w:sz w:val="20"/>
                <w:szCs w:val="20"/>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1408"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填报单位：</w:t>
            </w:r>
          </w:p>
        </w:tc>
        <w:tc>
          <w:tcPr>
            <w:tcW w:w="2516" w:type="dxa"/>
            <w:gridSpan w:val="8"/>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平山县人民检察院</w:t>
            </w:r>
          </w:p>
        </w:tc>
        <w:tc>
          <w:tcPr>
            <w:tcW w:w="1032" w:type="dxa"/>
            <w:gridSpan w:val="5"/>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71"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30" w:type="dxa"/>
            <w:gridSpan w:val="5"/>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33" w:type="dxa"/>
            <w:gridSpan w:val="10"/>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408" w:type="dxa"/>
            <w:gridSpan w:val="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基本情况</w:t>
            </w: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劳务派遣人员经费（专项资金）</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Style w:val="23"/>
                <w:rFonts w:hint="eastAsia" w:ascii="宋体" w:hAnsi="宋体" w:eastAsia="宋体" w:cs="宋体"/>
                <w:sz w:val="20"/>
                <w:szCs w:val="20"/>
                <w:lang w:val="en-US" w:eastAsia="zh-CN" w:bidi="ar"/>
              </w:rPr>
              <w:t>主管）单位</w:t>
            </w:r>
          </w:p>
        </w:tc>
        <w:tc>
          <w:tcPr>
            <w:tcW w:w="366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40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502"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50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0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0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4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3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48"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及时支付劳务派遣人员工资及社保金，保障单位日常工作正常开展。</w:t>
            </w:r>
          </w:p>
        </w:tc>
        <w:tc>
          <w:tcPr>
            <w:tcW w:w="3332"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按时发放了劳务派遣人员的工资及各项保险的缴纳，人员工作积极性较高，能够高质量完成工作安排。</w:t>
            </w:r>
          </w:p>
        </w:tc>
        <w:tc>
          <w:tcPr>
            <w:tcW w:w="1502"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48"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32"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0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140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48"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32"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0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408"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年度绩效指标完成情况</w:t>
            </w: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r>
              <w:rPr>
                <w:rStyle w:val="23"/>
                <w:rFonts w:hint="eastAsia" w:ascii="宋体" w:hAnsi="宋体" w:eastAsia="宋体" w:cs="宋体"/>
                <w:sz w:val="20"/>
                <w:szCs w:val="20"/>
                <w:lang w:val="en-US" w:eastAsia="zh-CN" w:bidi="ar"/>
              </w:rPr>
              <w:t>）</w:t>
            </w:r>
          </w:p>
        </w:tc>
        <w:tc>
          <w:tcPr>
            <w:tcW w:w="1245" w:type="dxa"/>
            <w:gridSpan w:val="4"/>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劳务派遣人员数量</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r>
              <w:rPr>
                <w:rStyle w:val="23"/>
                <w:rFonts w:hint="eastAsia" w:ascii="宋体" w:hAnsi="宋体" w:eastAsia="宋体" w:cs="宋体"/>
                <w:sz w:val="20"/>
                <w:szCs w:val="20"/>
                <w:lang w:val="en-US" w:eastAsia="zh-CN" w:bidi="ar"/>
              </w:rPr>
              <w:t>人</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r>
              <w:rPr>
                <w:rStyle w:val="23"/>
                <w:rFonts w:hint="eastAsia" w:ascii="宋体" w:hAnsi="宋体" w:eastAsia="宋体" w:cs="宋体"/>
                <w:sz w:val="20"/>
                <w:szCs w:val="20"/>
                <w:lang w:val="en-US" w:eastAsia="zh-CN" w:bidi="ar"/>
              </w:rPr>
              <w:t>人</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人员满勤率</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劳务派遣人员工资及时率、社保缴纳及时率</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人均工资成本</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w:t>
            </w:r>
            <w:r>
              <w:rPr>
                <w:rStyle w:val="22"/>
                <w:rFonts w:hint="eastAsia" w:ascii="宋体" w:hAnsi="宋体" w:eastAsia="宋体" w:cs="宋体"/>
                <w:sz w:val="20"/>
                <w:szCs w:val="20"/>
                <w:lang w:val="en-US" w:eastAsia="zh-CN" w:bidi="ar"/>
              </w:rPr>
              <w:t>万元</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人</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年</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4.43</w:t>
            </w:r>
            <w:r>
              <w:rPr>
                <w:rStyle w:val="22"/>
                <w:rFonts w:hint="eastAsia" w:ascii="宋体" w:hAnsi="宋体" w:eastAsia="宋体" w:cs="宋体"/>
                <w:sz w:val="20"/>
                <w:szCs w:val="20"/>
                <w:lang w:val="en-US" w:eastAsia="zh-CN" w:bidi="ar"/>
              </w:rPr>
              <w:t>万元</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人</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年</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r>
              <w:rPr>
                <w:rFonts w:hint="eastAsia" w:ascii="宋体" w:hAnsi="宋体" w:eastAsia="宋体" w:cs="宋体"/>
                <w:i w:val="0"/>
                <w:iCs w:val="0"/>
                <w:color w:val="000000"/>
                <w:kern w:val="0"/>
                <w:sz w:val="20"/>
                <w:szCs w:val="20"/>
                <w:u w:val="none"/>
                <w:lang w:val="en-US" w:eastAsia="zh-CN" w:bidi="ar"/>
              </w:rPr>
              <w:br w:type="textWrapping"/>
            </w: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10</w:t>
            </w:r>
            <w:r>
              <w:rPr>
                <w:rStyle w:val="23"/>
                <w:rFonts w:hint="eastAsia" w:ascii="宋体" w:hAnsi="宋体" w:eastAsia="宋体" w:cs="宋体"/>
                <w:sz w:val="20"/>
                <w:szCs w:val="20"/>
                <w:lang w:val="en-US" w:eastAsia="zh-CN" w:bidi="ar"/>
              </w:rPr>
              <w:t>）</w:t>
            </w: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203" w:type="dxa"/>
            <w:gridSpan w:val="11"/>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r>
              <w:rPr>
                <w:rStyle w:val="23"/>
                <w:rFonts w:hint="eastAsia" w:ascii="宋体" w:hAnsi="宋体" w:eastAsia="宋体" w:cs="宋体"/>
                <w:sz w:val="20"/>
                <w:szCs w:val="20"/>
                <w:lang w:val="en-US" w:eastAsia="zh-CN" w:bidi="ar"/>
              </w:rPr>
              <w:t>）</w:t>
            </w: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203" w:type="dxa"/>
            <w:gridSpan w:val="11"/>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对法律监督工作的保障力度</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10</w:t>
            </w:r>
            <w:r>
              <w:rPr>
                <w:rStyle w:val="23"/>
                <w:rFonts w:hint="eastAsia" w:ascii="宋体" w:hAnsi="宋体" w:eastAsia="宋体" w:cs="宋体"/>
                <w:sz w:val="20"/>
                <w:szCs w:val="20"/>
                <w:lang w:val="en-US" w:eastAsia="zh-CN" w:bidi="ar"/>
              </w:rPr>
              <w:t>分）</w:t>
            </w:r>
          </w:p>
        </w:tc>
        <w:tc>
          <w:tcPr>
            <w:tcW w:w="1245"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2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劳务派遣人员满意度</w:t>
            </w:r>
          </w:p>
        </w:tc>
        <w:tc>
          <w:tcPr>
            <w:tcW w:w="11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408"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08"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存在问题、原因及下一步整改措施</w:t>
            </w:r>
          </w:p>
        </w:tc>
        <w:tc>
          <w:tcPr>
            <w:tcW w:w="8382"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27" w:hRule="atLeast"/>
        </w:trPr>
        <w:tc>
          <w:tcPr>
            <w:tcW w:w="9306" w:type="dxa"/>
            <w:gridSpan w:val="3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298" w:hRule="atLeast"/>
        </w:trPr>
        <w:tc>
          <w:tcPr>
            <w:tcW w:w="9306" w:type="dxa"/>
            <w:gridSpan w:val="35"/>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27" w:hRule="atLeast"/>
        </w:trPr>
        <w:tc>
          <w:tcPr>
            <w:tcW w:w="121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08" w:type="dxa"/>
            <w:gridSpan w:val="11"/>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15"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77"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41"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49"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62" w:hRule="atLeast"/>
        </w:trPr>
        <w:tc>
          <w:tcPr>
            <w:tcW w:w="12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聘用制书记员人员经费（专项资金）</w:t>
            </w:r>
          </w:p>
        </w:tc>
        <w:tc>
          <w:tcPr>
            <w:tcW w:w="11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1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7" w:hRule="atLeast"/>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53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444"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5" w:hRule="atLeast"/>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2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49"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1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23"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为聘用制书记员发放工资，缴纳社会保险和住房公积金，保障检察工作顺利开展。</w:t>
            </w:r>
          </w:p>
        </w:tc>
        <w:tc>
          <w:tcPr>
            <w:tcW w:w="3349" w:type="dxa"/>
            <w:gridSpan w:val="1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按时发放了书记员的工资及各项保险的缴纳，人员工作积极性较高，能够高质量完成工作安排。</w:t>
            </w:r>
          </w:p>
        </w:tc>
        <w:tc>
          <w:tcPr>
            <w:tcW w:w="10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1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23"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49" w:type="dxa"/>
            <w:gridSpan w:val="1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586"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23"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49" w:type="dxa"/>
            <w:gridSpan w:val="1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5" w:hRule="atLeast"/>
        </w:trPr>
        <w:tc>
          <w:tcPr>
            <w:tcW w:w="121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87"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人员数量</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≥15人</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80"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书记员岗位补贴发放准确率</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3"/>
          <w:wAfter w:w="484" w:type="dxa"/>
          <w:trHeight w:val="605"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书记员工资支付及时率、社保缴纳及时率</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72"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人均工资成本</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5"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w:t>
            </w:r>
          </w:p>
        </w:tc>
        <w:tc>
          <w:tcPr>
            <w:tcW w:w="1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05"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378" w:type="dxa"/>
            <w:gridSpan w:val="5"/>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92" w:type="dxa"/>
            <w:gridSpan w:val="10"/>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对法律监督工作的保障力度</w:t>
            </w:r>
          </w:p>
        </w:tc>
        <w:tc>
          <w:tcPr>
            <w:tcW w:w="1141"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31"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619"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37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1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聘用制人员满意度</w:t>
            </w:r>
          </w:p>
        </w:tc>
        <w:tc>
          <w:tcPr>
            <w:tcW w:w="1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390" w:hRule="atLeast"/>
        </w:trPr>
        <w:tc>
          <w:tcPr>
            <w:tcW w:w="12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07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484" w:type="dxa"/>
          <w:trHeight w:val="1201" w:hRule="atLeast"/>
        </w:trPr>
        <w:tc>
          <w:tcPr>
            <w:tcW w:w="121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09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72" w:hRule="atLeast"/>
        </w:trPr>
        <w:tc>
          <w:tcPr>
            <w:tcW w:w="9439" w:type="dxa"/>
            <w:gridSpan w:val="3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298" w:hRule="atLeast"/>
        </w:trPr>
        <w:tc>
          <w:tcPr>
            <w:tcW w:w="9439" w:type="dxa"/>
            <w:gridSpan w:val="3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27" w:hRule="atLeast"/>
        </w:trPr>
        <w:tc>
          <w:tcPr>
            <w:tcW w:w="121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66" w:type="dxa"/>
            <w:gridSpan w:val="1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43"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91" w:type="dxa"/>
            <w:gridSpan w:val="3"/>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77"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46" w:type="dxa"/>
            <w:gridSpan w:val="10"/>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2"/>
          <w:wAfter w:w="351" w:type="dxa"/>
          <w:trHeight w:val="662"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23"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66" w:type="dxa"/>
            <w:gridSpan w:val="1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90"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04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15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04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1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76"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4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09"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6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1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09" w:type="dxa"/>
            <w:gridSpan w:val="18"/>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用于党组织经费开支，达到加强党组织和党员队伍建设的目的</w:t>
            </w:r>
          </w:p>
        </w:tc>
        <w:tc>
          <w:tcPr>
            <w:tcW w:w="3263"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有效加强了党组织和党员队伍建设，提高了检察队伍凝聚力，促进了党建和检察业务融合，推动了检察法律监督职能更好履职</w:t>
            </w:r>
          </w:p>
        </w:tc>
        <w:tc>
          <w:tcPr>
            <w:tcW w:w="115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1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09" w:type="dxa"/>
            <w:gridSpan w:val="18"/>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63"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884"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09" w:type="dxa"/>
            <w:gridSpan w:val="18"/>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63"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7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89"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参加活动党员人数</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≥59人</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7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活动参与率</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72"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活动开展频次</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每月一次</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12次</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活动总成本</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≤4.46万元</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2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89"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restart"/>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8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党员建言献策的比率</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vMerge w:val="continue"/>
            <w:tcBorders>
              <w:top w:val="nil"/>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8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党员政治觉悟和素养</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605"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77"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8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0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308" w:hRule="atLeast"/>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072" w:type="dxa"/>
            <w:gridSpan w:val="3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51" w:type="dxa"/>
          <w:trHeight w:val="112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223" w:type="dxa"/>
            <w:gridSpan w:val="3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9790" w:type="dxa"/>
            <w:gridSpan w:val="3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0"/>
                <w:szCs w:val="20"/>
                <w:u w:val="none"/>
              </w:rPr>
            </w:pPr>
            <w:r>
              <w:rPr>
                <w:rFonts w:hint="eastAsia" w:asciiTheme="minorEastAsia" w:hAnsiTheme="minorEastAsia" w:eastAsiaTheme="minorEastAsia" w:cstheme="minorEastAsia"/>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90" w:type="dxa"/>
            <w:gridSpan w:val="3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22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861" w:type="dxa"/>
            <w:gridSpan w:val="1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117"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66"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39" w:type="dxa"/>
            <w:gridSpan w:val="5"/>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78"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1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单位运行电费</w:t>
            </w:r>
          </w:p>
        </w:tc>
        <w:tc>
          <w:tcPr>
            <w:tcW w:w="10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51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8"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861" w:type="dxa"/>
            <w:gridSpan w:val="1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3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3"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0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1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28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78"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78" w:type="dxa"/>
            <w:gridSpan w:val="18"/>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用于缴纳机关大楼电费，保障办公大楼正常运转，保障检察工作顺利开展</w:t>
            </w:r>
          </w:p>
        </w:tc>
        <w:tc>
          <w:tcPr>
            <w:tcW w:w="3300"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有效保障了全年机关用电正常，保障了检察工作顺利开展。</w:t>
            </w:r>
          </w:p>
        </w:tc>
        <w:tc>
          <w:tcPr>
            <w:tcW w:w="1283"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78" w:type="dxa"/>
            <w:gridSpan w:val="18"/>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00"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78" w:type="dxa"/>
            <w:gridSpan w:val="18"/>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00"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233" w:type="dxa"/>
            <w:gridSpan w:val="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保障面积</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≤4240.48</w:t>
            </w:r>
            <w:r>
              <w:rPr>
                <w:rFonts w:hint="eastAsia" w:ascii="宋体" w:hAnsi="宋体" w:eastAsia="宋体" w:cs="宋体"/>
                <w:i w:val="0"/>
                <w:iCs w:val="0"/>
                <w:color w:val="000000"/>
                <w:kern w:val="0"/>
                <w:sz w:val="20"/>
                <w:szCs w:val="20"/>
                <w:u w:val="none"/>
                <w:lang w:val="en-US" w:eastAsia="zh-CN" w:bidi="ar"/>
              </w:rPr>
              <w:t>平方米</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正常供应率</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保障期限</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用电成本</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万元</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万元</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233" w:type="dxa"/>
            <w:gridSpan w:val="5"/>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restart"/>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233"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单位正常运转率</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vMerge w:val="continue"/>
            <w:tcBorders>
              <w:top w:val="nil"/>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3"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1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对部门运行的保障力度</w:t>
            </w:r>
          </w:p>
        </w:tc>
        <w:tc>
          <w:tcPr>
            <w:tcW w:w="1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持续保障办公办案活动</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持续保障办公办案活动</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8" w:type="dxa"/>
            <w:gridSpan w:val="7"/>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233" w:type="dxa"/>
            <w:gridSpan w:val="5"/>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83" w:type="dxa"/>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039" w:type="dxa"/>
            <w:gridSpan w:val="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195" w:type="dxa"/>
            <w:gridSpan w:val="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7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83" w:type="dxa"/>
            <w:gridSpan w:val="5"/>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561"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540" w:hRule="atLeast"/>
        </w:trPr>
        <w:tc>
          <w:tcPr>
            <w:tcW w:w="9534" w:type="dxa"/>
            <w:gridSpan w:val="3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315" w:hRule="atLeast"/>
        </w:trPr>
        <w:tc>
          <w:tcPr>
            <w:tcW w:w="9534" w:type="dxa"/>
            <w:gridSpan w:val="3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360" w:hRule="atLeast"/>
        </w:trPr>
        <w:tc>
          <w:tcPr>
            <w:tcW w:w="1229"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694"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100" w:type="dxa"/>
            <w:gridSpan w:val="7"/>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093" w:type="dxa"/>
            <w:gridSpan w:val="4"/>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124" w:type="dxa"/>
            <w:gridSpan w:val="5"/>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2294" w:type="dxa"/>
            <w:gridSpan w:val="10"/>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720" w:hRule="atLeast"/>
        </w:trPr>
        <w:tc>
          <w:tcPr>
            <w:tcW w:w="1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文件印刷经费</w:t>
            </w:r>
          </w:p>
        </w:tc>
        <w:tc>
          <w:tcPr>
            <w:tcW w:w="10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41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80"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694"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0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3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54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0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3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05"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33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65"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94"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7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1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794" w:type="dxa"/>
            <w:gridSpan w:val="16"/>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根据年度工作计划，完成印刷量，达到提高办案办公效率的目的</w:t>
            </w:r>
          </w:p>
        </w:tc>
        <w:tc>
          <w:tcPr>
            <w:tcW w:w="3174"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通过此经费的使用，有效打击犯罪活动，提升我院检察工作质效。</w:t>
            </w:r>
          </w:p>
        </w:tc>
        <w:tc>
          <w:tcPr>
            <w:tcW w:w="133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21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794" w:type="dxa"/>
            <w:gridSpan w:val="16"/>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174"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33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6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794" w:type="dxa"/>
            <w:gridSpan w:val="16"/>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174"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33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20" w:hRule="atLeast"/>
        </w:trPr>
        <w:tc>
          <w:tcPr>
            <w:tcW w:w="12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4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416"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印刷数量</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≥6000</w:t>
            </w:r>
            <w:r>
              <w:rPr>
                <w:rFonts w:hint="eastAsia" w:ascii="宋体" w:hAnsi="宋体" w:eastAsia="宋体" w:cs="宋体"/>
                <w:i w:val="0"/>
                <w:iCs w:val="0"/>
                <w:color w:val="000000"/>
                <w:kern w:val="0"/>
                <w:sz w:val="22"/>
                <w:szCs w:val="22"/>
                <w:u w:val="none"/>
                <w:lang w:val="en-US" w:eastAsia="zh-CN" w:bidi="ar"/>
              </w:rPr>
              <w:t>册</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9654</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36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印刷质量合格率</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36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工作完成及时率</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36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4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印刷成本</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万元</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92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416" w:type="dxa"/>
            <w:gridSpan w:val="6"/>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60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restart"/>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416"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业务保障率</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58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vMerge w:val="continue"/>
            <w:tcBorders>
              <w:top w:val="nil"/>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416"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对检察工作保障的及时性</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840"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78"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416"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1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1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288" w:hRule="atLeast"/>
        </w:trPr>
        <w:tc>
          <w:tcPr>
            <w:tcW w:w="12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6968" w:type="dxa"/>
            <w:gridSpan w:val="2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6" w:type="dxa"/>
          <w:trHeight w:val="1140" w:hRule="atLeast"/>
        </w:trPr>
        <w:tc>
          <w:tcPr>
            <w:tcW w:w="1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305" w:type="dxa"/>
            <w:gridSpan w:val="3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2025年我</w:t>
      </w:r>
      <w:r>
        <w:rPr>
          <w:rFonts w:hint="eastAsia" w:ascii="Times New Roman" w:eastAsia="仿宋_GB2312"/>
          <w:sz w:val="32"/>
          <w:szCs w:val="32"/>
          <w:lang w:eastAsia="zh-CN"/>
        </w:rPr>
        <w:t>单位</w:t>
      </w:r>
      <w:r>
        <w:rPr>
          <w:rFonts w:hint="eastAsia" w:ascii="Times New Roman" w:eastAsia="仿宋_GB2312"/>
          <w:sz w:val="32"/>
          <w:szCs w:val="32"/>
        </w:rPr>
        <w:t>积极履职，通过加强预算收支管理，不断梳理内部管理流程，建立健全财务管理制度，</w:t>
      </w:r>
      <w:r>
        <w:rPr>
          <w:rFonts w:hint="eastAsia" w:ascii="Times New Roman" w:eastAsia="仿宋_GB2312"/>
          <w:sz w:val="32"/>
          <w:szCs w:val="32"/>
          <w:lang w:eastAsia="zh-CN"/>
        </w:rPr>
        <w:t>单位</w:t>
      </w:r>
      <w:r>
        <w:rPr>
          <w:rFonts w:hint="eastAsia" w:ascii="Times New Roman" w:eastAsia="仿宋_GB2312"/>
          <w:sz w:val="32"/>
          <w:szCs w:val="32"/>
        </w:rPr>
        <w:t>整体支出管理水平得到提升。经自评，15个项目自评得分均在90分以上，2025年我部门较好的完成了年度工作目标，综合评价等级为“优秀”。</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ind w:firstLine="640" w:firstLineChars="200"/>
        <w:rPr>
          <w:rFonts w:hint="eastAsia" w:ascii="Times New Roman" w:eastAsia="仿宋_GB2312"/>
          <w:b w:val="0"/>
          <w:sz w:val="32"/>
          <w:szCs w:val="32"/>
        </w:rPr>
      </w:pPr>
      <w:r>
        <w:rPr>
          <w:rFonts w:hint="eastAsia" w:ascii="Times New Roman" w:eastAsia="仿宋_GB2312"/>
          <w:b w:val="0"/>
          <w:sz w:val="32"/>
          <w:szCs w:val="32"/>
        </w:rPr>
        <w:t>1. 本单位2024年度政府性基金预算、国有资本经营预算无收支及结转结余情况，故政府性基金预算收入支出决算表、国有资本经营预算收入支出决算表以空表列示。</w:t>
      </w:r>
    </w:p>
    <w:p>
      <w:pPr>
        <w:ind w:firstLine="640" w:firstLineChars="200"/>
        <w:rPr>
          <w:rFonts w:hint="default" w:ascii="Times New Roman" w:hAnsi="Times New Roman" w:eastAsia="仿宋_GB2312" w:cs="Times New Roman"/>
          <w:sz w:val="32"/>
          <w:szCs w:val="32"/>
        </w:rPr>
      </w:pPr>
      <w:r>
        <w:rPr>
          <w:rFonts w:hint="eastAsia" w:ascii="Times New Roman" w:eastAsia="仿宋_GB2312"/>
          <w:b w:val="0"/>
          <w:sz w:val="32"/>
          <w:szCs w:val="32"/>
        </w:rPr>
        <w:t>2. 由于决算公开表格中金额数值应当保留两位小数，公开数据为四舍五入计算结果，个别数据合计项与分项之和存在小数点后差额，特此说明。</w:t>
      </w: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2EEEEC7-EB5D-4EDA-8442-CDC25F9C3F1B}"/>
  </w:font>
  <w:font w:name="黑体">
    <w:panose1 w:val="02010609060101010101"/>
    <w:charset w:val="86"/>
    <w:family w:val="auto"/>
    <w:pitch w:val="default"/>
    <w:sig w:usb0="800002BF" w:usb1="38CF7CFA" w:usb2="00000016" w:usb3="00000000" w:csb0="00040001" w:csb1="00000000"/>
    <w:embedRegular r:id="rId2" w:fontKey="{828990FC-F69E-4421-BA40-B8E0EA6ED42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C6A8CC4-8E43-43BA-BFE1-2795CB83BA3E}"/>
  </w:font>
  <w:font w:name="仿宋">
    <w:panose1 w:val="02010609060101010101"/>
    <w:charset w:val="86"/>
    <w:family w:val="modern"/>
    <w:pitch w:val="default"/>
    <w:sig w:usb0="800002BF" w:usb1="38CF7CFA" w:usb2="00000016" w:usb3="00000000" w:csb0="00040001" w:csb1="00000000"/>
    <w:embedRegular r:id="rId4" w:fontKey="{415D817E-7074-44D6-B2E3-9F83C0BA39C2}"/>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1E469E1D-DF9E-40ED-92F1-66B1B1A0708C}"/>
  </w:font>
  <w:font w:name="方正小标宋_GBK">
    <w:panose1 w:val="03000509000000000000"/>
    <w:charset w:val="86"/>
    <w:family w:val="script"/>
    <w:pitch w:val="default"/>
    <w:sig w:usb0="00000001" w:usb1="080E0000" w:usb2="00000000" w:usb3="00000000" w:csb0="00040000" w:csb1="00000000"/>
    <w:embedRegular r:id="rId6" w:fontKey="{1D6555D7-EEDD-4952-BE14-1F10D49C9FE7}"/>
  </w:font>
  <w:font w:name="楷体_GB2312">
    <w:panose1 w:val="02010609030101010101"/>
    <w:charset w:val="86"/>
    <w:family w:val="auto"/>
    <w:pitch w:val="default"/>
    <w:sig w:usb0="00000001" w:usb1="080E0000" w:usb2="00000000" w:usb3="00000000" w:csb0="00040000" w:csb1="00000000"/>
    <w:embedRegular r:id="rId7" w:fontKey="{038103D1-0C23-4476-91BB-C5EDD4D609A7}"/>
  </w:font>
  <w:font w:name="微软雅黑">
    <w:panose1 w:val="020B0503020204020204"/>
    <w:charset w:val="86"/>
    <w:family w:val="auto"/>
    <w:pitch w:val="default"/>
    <w:sig w:usb0="80000287" w:usb1="280F3C52" w:usb2="00000016" w:usb3="00000000" w:csb0="0004001F" w:csb1="00000000"/>
    <w:embedRegular r:id="rId8" w:fontKey="{990C635C-B041-476B-ADE6-B6F63BE62D2C}"/>
  </w:font>
  <w:font w:name="仿宋_GB2312">
    <w:panose1 w:val="02010609030101010101"/>
    <w:charset w:val="86"/>
    <w:family w:val="auto"/>
    <w:pitch w:val="default"/>
    <w:sig w:usb0="00000001" w:usb1="080E0000" w:usb2="00000000" w:usb3="00000000" w:csb0="00040000" w:csb1="00000000"/>
    <w:embedRegular r:id="rId9" w:fontKey="{C5D042F3-2DFF-4EB1-B939-CA0E72686F63}"/>
  </w:font>
  <w:font w:name="ArialUnicodeMS">
    <w:altName w:val="Malgun Gothic"/>
    <w:panose1 w:val="00000000000000000000"/>
    <w:charset w:val="81"/>
    <w:family w:val="auto"/>
    <w:pitch w:val="default"/>
    <w:sig w:usb0="00000000" w:usb1="00000000" w:usb2="00000010" w:usb3="00000000" w:csb0="00080001" w:csb1="00000000"/>
    <w:embedRegular r:id="rId10" w:fontKey="{703DD221-AC14-4708-90EB-1713CAFB61D5}"/>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OTMsImhkaWQiOiJlNmU4NTU1MjNmZTA3Mjg1ZDFlNzZhNTcxNWVkNDBiNyIsInVzZXJDb3VudCI6MjR9"/>
  </w:docVars>
  <w:rsids>
    <w:rsidRoot w:val="00172A27"/>
    <w:rsid w:val="00086151"/>
    <w:rsid w:val="00236F8C"/>
    <w:rsid w:val="00822154"/>
    <w:rsid w:val="00C65689"/>
    <w:rsid w:val="00CC2C8E"/>
    <w:rsid w:val="01366DA8"/>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7C0CE0"/>
    <w:rsid w:val="0AA954BE"/>
    <w:rsid w:val="0AE70639"/>
    <w:rsid w:val="0AEC32FF"/>
    <w:rsid w:val="0B2D23ED"/>
    <w:rsid w:val="0B4F5E6D"/>
    <w:rsid w:val="0B52270F"/>
    <w:rsid w:val="0B753AE2"/>
    <w:rsid w:val="0BA06C02"/>
    <w:rsid w:val="0BB67D0A"/>
    <w:rsid w:val="0BC56230"/>
    <w:rsid w:val="0BCF21BD"/>
    <w:rsid w:val="0BE20A4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696321"/>
    <w:rsid w:val="0E866524"/>
    <w:rsid w:val="0E9268D3"/>
    <w:rsid w:val="0E957F1F"/>
    <w:rsid w:val="0ECB733C"/>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12652A"/>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EFD54D7"/>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461D18"/>
    <w:rsid w:val="22940650"/>
    <w:rsid w:val="22A0786A"/>
    <w:rsid w:val="22A10244"/>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80F7C"/>
    <w:rsid w:val="294B7731"/>
    <w:rsid w:val="29514455"/>
    <w:rsid w:val="29D21FF2"/>
    <w:rsid w:val="2A611B0F"/>
    <w:rsid w:val="2AC1762B"/>
    <w:rsid w:val="2AE845D0"/>
    <w:rsid w:val="2B4975FB"/>
    <w:rsid w:val="2B695031"/>
    <w:rsid w:val="2B735A8F"/>
    <w:rsid w:val="2BA7478D"/>
    <w:rsid w:val="2BB038DB"/>
    <w:rsid w:val="2BB761E0"/>
    <w:rsid w:val="2BB812F9"/>
    <w:rsid w:val="2BE35C27"/>
    <w:rsid w:val="2BE94E19"/>
    <w:rsid w:val="2BFA504B"/>
    <w:rsid w:val="2C681F1F"/>
    <w:rsid w:val="2C8608DC"/>
    <w:rsid w:val="2CA4764A"/>
    <w:rsid w:val="2CC42ECA"/>
    <w:rsid w:val="2CCC7A22"/>
    <w:rsid w:val="2CDA4349"/>
    <w:rsid w:val="2D225539"/>
    <w:rsid w:val="2D4618D2"/>
    <w:rsid w:val="2D5F021B"/>
    <w:rsid w:val="2D6E1286"/>
    <w:rsid w:val="2D70583E"/>
    <w:rsid w:val="2DA07759"/>
    <w:rsid w:val="2DD218DC"/>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3643A5"/>
    <w:rsid w:val="30630612"/>
    <w:rsid w:val="308E59B0"/>
    <w:rsid w:val="30986E0D"/>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583CDB"/>
    <w:rsid w:val="35763460"/>
    <w:rsid w:val="35776F72"/>
    <w:rsid w:val="35997371"/>
    <w:rsid w:val="35BC359E"/>
    <w:rsid w:val="35DA3A24"/>
    <w:rsid w:val="35DD4D47"/>
    <w:rsid w:val="360134DF"/>
    <w:rsid w:val="360B1E2F"/>
    <w:rsid w:val="360D500F"/>
    <w:rsid w:val="36330424"/>
    <w:rsid w:val="36721772"/>
    <w:rsid w:val="36FE3ABA"/>
    <w:rsid w:val="37072BDE"/>
    <w:rsid w:val="37455334"/>
    <w:rsid w:val="37527C32"/>
    <w:rsid w:val="37731921"/>
    <w:rsid w:val="37E509C0"/>
    <w:rsid w:val="37E96FB8"/>
    <w:rsid w:val="38222D85"/>
    <w:rsid w:val="38507FCD"/>
    <w:rsid w:val="38767A34"/>
    <w:rsid w:val="38803721"/>
    <w:rsid w:val="38925A62"/>
    <w:rsid w:val="389F5F4F"/>
    <w:rsid w:val="38C36BA2"/>
    <w:rsid w:val="38D34E55"/>
    <w:rsid w:val="38E11CEF"/>
    <w:rsid w:val="38F6595C"/>
    <w:rsid w:val="39161217"/>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11889"/>
    <w:rsid w:val="425B7C31"/>
    <w:rsid w:val="427D66D0"/>
    <w:rsid w:val="42BC7E02"/>
    <w:rsid w:val="42C82575"/>
    <w:rsid w:val="43022EE1"/>
    <w:rsid w:val="431A5F8F"/>
    <w:rsid w:val="431F247A"/>
    <w:rsid w:val="4320610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73BFF"/>
    <w:rsid w:val="45FE7734"/>
    <w:rsid w:val="461F0A8B"/>
    <w:rsid w:val="46367FCC"/>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5B7DC5"/>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22751"/>
    <w:rsid w:val="514E62C9"/>
    <w:rsid w:val="515B3813"/>
    <w:rsid w:val="516123CE"/>
    <w:rsid w:val="51932FAD"/>
    <w:rsid w:val="51A927D1"/>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596730"/>
    <w:rsid w:val="546E2B1A"/>
    <w:rsid w:val="5482555F"/>
    <w:rsid w:val="54A31DD8"/>
    <w:rsid w:val="54AA6F8B"/>
    <w:rsid w:val="54D26583"/>
    <w:rsid w:val="55012924"/>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A43CF2"/>
    <w:rsid w:val="58CB5DC0"/>
    <w:rsid w:val="58D53944"/>
    <w:rsid w:val="58D65478"/>
    <w:rsid w:val="58F52487"/>
    <w:rsid w:val="58F9403E"/>
    <w:rsid w:val="590422E6"/>
    <w:rsid w:val="592257E5"/>
    <w:rsid w:val="595E6596"/>
    <w:rsid w:val="59635CB4"/>
    <w:rsid w:val="59655E33"/>
    <w:rsid w:val="5970233D"/>
    <w:rsid w:val="59CF5BD9"/>
    <w:rsid w:val="59E20C3C"/>
    <w:rsid w:val="59E3512D"/>
    <w:rsid w:val="5A001BC6"/>
    <w:rsid w:val="5A1D5B0A"/>
    <w:rsid w:val="5A2447F3"/>
    <w:rsid w:val="5A3B4B4E"/>
    <w:rsid w:val="5A4804CA"/>
    <w:rsid w:val="5A4A430E"/>
    <w:rsid w:val="5A594C85"/>
    <w:rsid w:val="5A8842AA"/>
    <w:rsid w:val="5AEB1E3C"/>
    <w:rsid w:val="5B2507CA"/>
    <w:rsid w:val="5B2A474A"/>
    <w:rsid w:val="5B2D237E"/>
    <w:rsid w:val="5B612747"/>
    <w:rsid w:val="5B830730"/>
    <w:rsid w:val="5BBB2DD6"/>
    <w:rsid w:val="5BD6009C"/>
    <w:rsid w:val="5BE263B6"/>
    <w:rsid w:val="5C5A2B7A"/>
    <w:rsid w:val="5C7B2FBB"/>
    <w:rsid w:val="5C8949A7"/>
    <w:rsid w:val="5C8E5C5A"/>
    <w:rsid w:val="5C965E61"/>
    <w:rsid w:val="5CD839BA"/>
    <w:rsid w:val="5CF0089C"/>
    <w:rsid w:val="5CF51361"/>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4F7CAA"/>
    <w:rsid w:val="697E12B2"/>
    <w:rsid w:val="69C8706D"/>
    <w:rsid w:val="6A0E3FB4"/>
    <w:rsid w:val="6A292754"/>
    <w:rsid w:val="6A2C0EF3"/>
    <w:rsid w:val="6A5E3B28"/>
    <w:rsid w:val="6A6B1EBE"/>
    <w:rsid w:val="6A8F43F7"/>
    <w:rsid w:val="6A971908"/>
    <w:rsid w:val="6AD625F3"/>
    <w:rsid w:val="6AE461D0"/>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57538"/>
    <w:rsid w:val="6DBF2759"/>
    <w:rsid w:val="6DC96F36"/>
    <w:rsid w:val="6DED00D0"/>
    <w:rsid w:val="6DFA3EBF"/>
    <w:rsid w:val="6E3E63D2"/>
    <w:rsid w:val="6E5F7BE6"/>
    <w:rsid w:val="6E6918C6"/>
    <w:rsid w:val="6EEB4AC4"/>
    <w:rsid w:val="6F1A634B"/>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36C7D"/>
    <w:rsid w:val="720C30AE"/>
    <w:rsid w:val="721A7983"/>
    <w:rsid w:val="721F6113"/>
    <w:rsid w:val="7233782C"/>
    <w:rsid w:val="725400DF"/>
    <w:rsid w:val="726A729D"/>
    <w:rsid w:val="728672E8"/>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0B1D51"/>
    <w:rsid w:val="75272439"/>
    <w:rsid w:val="753E28E0"/>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9D6AC7"/>
    <w:rsid w:val="7AC13CD3"/>
    <w:rsid w:val="7AE10264"/>
    <w:rsid w:val="7AE12975"/>
    <w:rsid w:val="7AE4248E"/>
    <w:rsid w:val="7B4A207F"/>
    <w:rsid w:val="7B6A44C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ascii="方正小标宋_GBK" w:hAnsi="方正小标宋_GBK" w:eastAsia="方正小标宋_GBK" w:cs="方正小标宋_GBK"/>
      <w:color w:val="000000"/>
      <w:sz w:val="44"/>
      <w:szCs w:val="44"/>
      <w:u w:val="none"/>
    </w:rPr>
  </w:style>
  <w:style w:type="character" w:customStyle="1" w:styleId="28">
    <w:name w:val="font7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1468.33</c:v>
                </c:pt>
                <c:pt idx="1">
                  <c:v>1312.14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delete val="1"/>
            </c:dLbl>
            <c:dLbl>
              <c:idx val="3"/>
              <c:delete val="1"/>
            </c:dLbl>
            <c:dLbl>
              <c:idx val="4"/>
              <c:delete val="1"/>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9976186.18</c:v>
                </c:pt>
                <c:pt idx="1">
                  <c:v>4707133.76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delete val="1"/>
      </c:legendEntry>
      <c:legendEntry>
        <c:idx val="3"/>
        <c:delete val="1"/>
      </c:legendEntry>
      <c:legendEntry>
        <c:idx val="4"/>
        <c:delete val="1"/>
      </c:legendEntry>
      <c:layout>
        <c:manualLayout>
          <c:xMode val="edge"/>
          <c:yMode val="edge"/>
          <c:x val="0.171055810582266"/>
          <c:y val="0.108584785380365"/>
          <c:w val="0.663082870258517"/>
          <c:h val="0.0552486187845304"/>
        </c:manualLayout>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11885</Words>
  <Characters>14480</Characters>
  <Lines>86</Lines>
  <Paragraphs>24</Paragraphs>
  <TotalTime>25</TotalTime>
  <ScaleCrop>false</ScaleCrop>
  <LinksUpToDate>false</LinksUpToDate>
  <CharactersWithSpaces>15403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2026-09-01T08:28:05Z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